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2C" w:rsidRDefault="00B87F62" w:rsidP="00A007F8">
      <w:pPr>
        <w:pStyle w:val="Ttulo1"/>
        <w:numPr>
          <w:ilvl w:val="0"/>
          <w:numId w:val="0"/>
        </w:numPr>
        <w:tabs>
          <w:tab w:val="left" w:pos="1701"/>
        </w:tabs>
        <w:spacing w:before="0"/>
        <w:ind w:left="432" w:hanging="432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DECRETO MUNICIPAL Nº</w:t>
      </w:r>
      <w:r w:rsidR="00B228C4">
        <w:rPr>
          <w:rFonts w:ascii="Palatino Linotype" w:hAnsi="Palatino Linotype"/>
        </w:rPr>
        <w:t xml:space="preserve"> </w:t>
      </w:r>
      <w:r w:rsidR="00200AC1">
        <w:rPr>
          <w:rFonts w:ascii="Palatino Linotype" w:hAnsi="Palatino Linotype"/>
        </w:rPr>
        <w:t>105</w:t>
      </w:r>
      <w:r w:rsidR="00A007F8" w:rsidRPr="00A007F8">
        <w:rPr>
          <w:rFonts w:ascii="Palatino Linotype" w:hAnsi="Palatino Linotype"/>
        </w:rPr>
        <w:t>/2017</w:t>
      </w:r>
      <w:r w:rsidR="00A007F8">
        <w:rPr>
          <w:rFonts w:ascii="Palatino Linotype" w:hAnsi="Palatino Linotype"/>
        </w:rPr>
        <w:t xml:space="preserve">           </w:t>
      </w:r>
      <w:r w:rsidR="00A007F8" w:rsidRPr="00A007F8">
        <w:rPr>
          <w:rFonts w:ascii="Palatino Linotype" w:hAnsi="Palatino Linotype"/>
        </w:rPr>
        <w:t xml:space="preserve"> SÃO MARTINHO, 02 </w:t>
      </w:r>
      <w:bookmarkStart w:id="0" w:name="_GoBack"/>
      <w:bookmarkEnd w:id="0"/>
      <w:r w:rsidR="00A007F8" w:rsidRPr="00A007F8">
        <w:rPr>
          <w:rFonts w:ascii="Palatino Linotype" w:hAnsi="Palatino Linotype"/>
        </w:rPr>
        <w:t>DE</w:t>
      </w:r>
      <w:r w:rsidR="00C86862">
        <w:rPr>
          <w:rFonts w:ascii="Palatino Linotype" w:hAnsi="Palatino Linotype"/>
        </w:rPr>
        <w:t xml:space="preserve"> OUTUBRO </w:t>
      </w:r>
      <w:r w:rsidR="00A007F8" w:rsidRPr="00A007F8">
        <w:rPr>
          <w:rFonts w:ascii="Palatino Linotype" w:hAnsi="Palatino Linotype"/>
        </w:rPr>
        <w:t>DE 2017</w:t>
      </w:r>
      <w:r w:rsidR="00C86862">
        <w:rPr>
          <w:rFonts w:ascii="Palatino Linotype" w:hAnsi="Palatino Linotype"/>
        </w:rPr>
        <w:t>.</w:t>
      </w:r>
    </w:p>
    <w:p w:rsidR="00A007F8" w:rsidRDefault="00A007F8" w:rsidP="00A007F8"/>
    <w:p w:rsidR="00194ACD" w:rsidRDefault="00194ACD" w:rsidP="00A007F8"/>
    <w:p w:rsidR="00A007F8" w:rsidRPr="00A007F8" w:rsidRDefault="00A007F8" w:rsidP="00A007F8"/>
    <w:p w:rsidR="00A007F8" w:rsidRDefault="00C86862" w:rsidP="00A0096F">
      <w:pPr>
        <w:tabs>
          <w:tab w:val="left" w:pos="1701"/>
        </w:tabs>
        <w:ind w:left="5245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“AUTORIZA A EXCLUSÃO</w:t>
      </w:r>
      <w:r w:rsidR="00A007F8" w:rsidRPr="00A007F8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</w:t>
      </w:r>
      <w:r w:rsidR="00A007F8" w:rsidRPr="00A007F8">
        <w:rPr>
          <w:rFonts w:ascii="Palatino Linotype" w:hAnsi="Palatino Linotype"/>
          <w:b/>
        </w:rPr>
        <w:t>OS CRÉDITOS TRIBUTÁRIOS</w:t>
      </w:r>
      <w:r>
        <w:rPr>
          <w:rFonts w:ascii="Palatino Linotype" w:hAnsi="Palatino Linotype"/>
          <w:b/>
        </w:rPr>
        <w:t xml:space="preserve"> PRESCRITOS</w:t>
      </w:r>
      <w:r w:rsidR="00A007F8" w:rsidRPr="00A007F8">
        <w:rPr>
          <w:rFonts w:ascii="Palatino Linotype" w:hAnsi="Palatino Linotype"/>
          <w:b/>
        </w:rPr>
        <w:t xml:space="preserve">, RELATIVOS A IMPOSTOS, TAXAS E CONTRIBUIÇÃO DE MELHORIA, DE COMPETÊNCIA </w:t>
      </w:r>
      <w:r w:rsidR="00A007F8">
        <w:rPr>
          <w:rFonts w:ascii="Palatino Linotype" w:hAnsi="Palatino Linotype"/>
          <w:b/>
        </w:rPr>
        <w:t>DO MUNICÍPIO E DÁ OUTRAS PROVID</w:t>
      </w:r>
      <w:r w:rsidR="00A0096F">
        <w:rPr>
          <w:rFonts w:ascii="Palatino Linotype" w:hAnsi="Palatino Linotype"/>
          <w:b/>
        </w:rPr>
        <w:t>Ê</w:t>
      </w:r>
      <w:r>
        <w:rPr>
          <w:rFonts w:ascii="Palatino Linotype" w:hAnsi="Palatino Linotype"/>
          <w:b/>
        </w:rPr>
        <w:t>NCIAS”.</w:t>
      </w:r>
    </w:p>
    <w:p w:rsidR="0043795A" w:rsidRDefault="00200AC1" w:rsidP="00A0096F">
      <w:pPr>
        <w:tabs>
          <w:tab w:val="left" w:pos="1701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3.7pt;margin-top:4.4pt;width:198pt;height:0;z-index:25165824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2.25pt"/>
        </w:pict>
      </w:r>
    </w:p>
    <w:p w:rsidR="00A0096F" w:rsidRDefault="00A0096F" w:rsidP="006C1571">
      <w:pPr>
        <w:tabs>
          <w:tab w:val="left" w:pos="1701"/>
        </w:tabs>
        <w:spacing w:line="360" w:lineRule="auto"/>
        <w:rPr>
          <w:rFonts w:ascii="Palatino Linotype" w:hAnsi="Palatino Linotype"/>
          <w:sz w:val="24"/>
          <w:szCs w:val="24"/>
        </w:rPr>
      </w:pP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que a Constituição da República Federativa do Brasil estabelece, no art. 146, inciso III, alínea b, que a prescrição é norma geral de direito tributário;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bCs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bCs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que a Constituição da República Federativa do Brasil dispõe, em seu art. 24, inciso I, que é competência concorrente da União, dos Estados e do Distrito Federal legislar sobre direito tributário, cabendo, aquela, o estabelecimento das normas gerais, conforme art. 24, § 1º;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bCs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bCs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que o Código Tributário Nacional, editado pela União, com natureza jurídica de lei complementar, prevê, no art. 156, inciso V, que a prescrição extingue o crédito tributário, e não apenas a respectiva ação de cobrança;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bCs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bCs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que o Código Penal Brasileiro tipifica, no art. 316, § 1º, a cobrança de tributo sabidamente indevido como crime;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bCs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bCs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que o reconhecimento da prescrição não é causa de renúncia de receita, já ocorrida no dia “ad quem” do prazo previsto no art. 174 do Código Tributário Nacional;</w:t>
      </w:r>
    </w:p>
    <w:p w:rsidR="00111D2C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b/>
          <w:bCs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bCs/>
          <w:sz w:val="24"/>
          <w:szCs w:val="24"/>
        </w:rPr>
        <w:t>CONSIDERANDO</w:t>
      </w:r>
      <w:r w:rsidR="00111D2C" w:rsidRPr="00A007F8">
        <w:rPr>
          <w:rFonts w:ascii="Palatino Linotype" w:hAnsi="Palatino Linotype"/>
          <w:sz w:val="24"/>
          <w:szCs w:val="24"/>
        </w:rPr>
        <w:t xml:space="preserve"> a necessidade de os registros contábeis do Município retratarem a real situação fiscal e orçamentária;</w:t>
      </w:r>
    </w:p>
    <w:p w:rsidR="00194ACD" w:rsidRDefault="00194ACD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</w:p>
    <w:p w:rsidR="00194ACD" w:rsidRPr="00A007F8" w:rsidRDefault="00194ACD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</w:p>
    <w:p w:rsidR="00111D2C" w:rsidRPr="00A0096F" w:rsidRDefault="00111D2C" w:rsidP="00194ACD">
      <w:pPr>
        <w:tabs>
          <w:tab w:val="left" w:pos="1701"/>
          <w:tab w:val="left" w:pos="4218"/>
        </w:tabs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A0096F">
        <w:rPr>
          <w:rFonts w:ascii="Palatino Linotype" w:hAnsi="Palatino Linotype"/>
          <w:b/>
          <w:bCs/>
          <w:sz w:val="24"/>
          <w:szCs w:val="24"/>
          <w:u w:val="single"/>
        </w:rPr>
        <w:t>DECRETA</w:t>
      </w:r>
      <w:r w:rsidR="00A0096F" w:rsidRPr="00A0096F">
        <w:rPr>
          <w:rFonts w:ascii="Palatino Linotype" w:hAnsi="Palatino Linotype"/>
          <w:b/>
          <w:bCs/>
          <w:sz w:val="24"/>
          <w:szCs w:val="24"/>
          <w:u w:val="single"/>
        </w:rPr>
        <w:t>: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sz w:val="24"/>
          <w:szCs w:val="24"/>
        </w:rPr>
        <w:t>Art. 1º</w:t>
      </w:r>
      <w:r w:rsidR="006C1571" w:rsidRPr="00A007F8">
        <w:rPr>
          <w:rFonts w:ascii="Palatino Linotype" w:hAnsi="Palatino Linotype"/>
          <w:b/>
          <w:sz w:val="24"/>
          <w:szCs w:val="24"/>
        </w:rPr>
        <w:t>.</w:t>
      </w:r>
      <w:r w:rsidR="00111D2C" w:rsidRPr="00A007F8">
        <w:rPr>
          <w:rFonts w:ascii="Palatino Linotype" w:hAnsi="Palatino Linotype"/>
          <w:sz w:val="24"/>
          <w:szCs w:val="24"/>
        </w:rPr>
        <w:t xml:space="preserve"> Ficam cancelados todos os créditos tributários, relativos a impostos, taxas</w:t>
      </w:r>
      <w:r w:rsidR="006C1571" w:rsidRPr="00A007F8">
        <w:rPr>
          <w:rFonts w:ascii="Palatino Linotype" w:hAnsi="Palatino Linotype"/>
          <w:sz w:val="24"/>
          <w:szCs w:val="24"/>
        </w:rPr>
        <w:t xml:space="preserve"> e</w:t>
      </w:r>
      <w:r w:rsidR="00111D2C" w:rsidRPr="00A007F8">
        <w:rPr>
          <w:rFonts w:ascii="Palatino Linotype" w:hAnsi="Palatino Linotype"/>
          <w:sz w:val="24"/>
          <w:szCs w:val="24"/>
        </w:rPr>
        <w:t xml:space="preserve"> contribuição de melhoria, de competência do Município, inscritos ou não em dívida ativa, cujo último vencimento para pagamento em parcela única tenha ocorrido há mais de 5 (cinco) anos,</w:t>
      </w:r>
      <w:r w:rsidR="006C1571" w:rsidRPr="00A007F8">
        <w:rPr>
          <w:rFonts w:ascii="Palatino Linotype" w:hAnsi="Palatino Linotype"/>
          <w:sz w:val="24"/>
          <w:szCs w:val="24"/>
        </w:rPr>
        <w:t xml:space="preserve"> e que não sejam objeto de ação de execução fiscal,</w:t>
      </w:r>
      <w:r w:rsidR="00111D2C" w:rsidRPr="00A007F8">
        <w:rPr>
          <w:rFonts w:ascii="Palatino Linotype" w:hAnsi="Palatino Linotype"/>
          <w:sz w:val="24"/>
          <w:szCs w:val="24"/>
        </w:rPr>
        <w:t xml:space="preserve"> relacionados no Anexo deste Decreto.</w:t>
      </w: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sz w:val="24"/>
          <w:szCs w:val="24"/>
        </w:rPr>
        <w:t>Parágrafo único</w:t>
      </w:r>
      <w:r w:rsidR="00111D2C" w:rsidRPr="00A007F8">
        <w:rPr>
          <w:rFonts w:ascii="Palatino Linotype" w:hAnsi="Palatino Linotype"/>
          <w:sz w:val="24"/>
          <w:szCs w:val="24"/>
        </w:rPr>
        <w:t>. Na apuração do prazo de que trata este artigo será verificada a eventual ocorrência das situações interruptivas da prescrição, previstas no art. 174, parágrafo único, do Código Tributário Nacional.</w:t>
      </w:r>
    </w:p>
    <w:p w:rsidR="00111D2C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sz w:val="24"/>
          <w:szCs w:val="24"/>
        </w:rPr>
        <w:lastRenderedPageBreak/>
        <w:tab/>
      </w:r>
      <w:r w:rsidR="00111D2C" w:rsidRPr="00A007F8">
        <w:rPr>
          <w:rFonts w:ascii="Palatino Linotype" w:hAnsi="Palatino Linotype"/>
          <w:b/>
          <w:sz w:val="24"/>
          <w:szCs w:val="24"/>
        </w:rPr>
        <w:t>Art. 2º</w:t>
      </w:r>
      <w:r w:rsidR="006C1571" w:rsidRPr="00A007F8">
        <w:rPr>
          <w:rFonts w:ascii="Palatino Linotype" w:hAnsi="Palatino Linotype"/>
          <w:b/>
          <w:sz w:val="24"/>
          <w:szCs w:val="24"/>
        </w:rPr>
        <w:t>.</w:t>
      </w:r>
      <w:r w:rsidR="00A007F8" w:rsidRPr="00A007F8">
        <w:rPr>
          <w:rFonts w:ascii="Palatino Linotype" w:hAnsi="Palatino Linotype"/>
          <w:sz w:val="24"/>
          <w:szCs w:val="24"/>
        </w:rPr>
        <w:t xml:space="preserve"> A Secretaria de Finanças </w:t>
      </w:r>
      <w:r w:rsidR="00111D2C" w:rsidRPr="00A007F8">
        <w:rPr>
          <w:rFonts w:ascii="Palatino Linotype" w:hAnsi="Palatino Linotype"/>
          <w:sz w:val="24"/>
          <w:szCs w:val="24"/>
        </w:rPr>
        <w:t>providenciará na investigação das causas da prescrição dos créditos tributários relacionados no Anexo deste Decreto, averiguando a eventual responsabilização funcional pela ocorrência da prescrição.</w:t>
      </w:r>
    </w:p>
    <w:p w:rsidR="00194ACD" w:rsidRPr="00A007F8" w:rsidRDefault="00194ACD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</w:p>
    <w:p w:rsidR="00111D2C" w:rsidRPr="00A007F8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sz w:val="24"/>
          <w:szCs w:val="24"/>
        </w:rPr>
        <w:tab/>
      </w:r>
      <w:r w:rsidR="00111D2C" w:rsidRPr="00A007F8">
        <w:rPr>
          <w:rFonts w:ascii="Palatino Linotype" w:hAnsi="Palatino Linotype"/>
          <w:b/>
          <w:sz w:val="24"/>
          <w:szCs w:val="24"/>
        </w:rPr>
        <w:t>Art. 3º</w:t>
      </w:r>
      <w:r w:rsidR="006C1571" w:rsidRPr="00A007F8">
        <w:rPr>
          <w:rFonts w:ascii="Palatino Linotype" w:hAnsi="Palatino Linotype"/>
          <w:b/>
          <w:sz w:val="24"/>
          <w:szCs w:val="24"/>
        </w:rPr>
        <w:t>.</w:t>
      </w:r>
      <w:r w:rsidR="00111D2C" w:rsidRPr="00A007F8">
        <w:rPr>
          <w:rFonts w:ascii="Palatino Linotype" w:hAnsi="Palatino Linotype"/>
          <w:sz w:val="24"/>
          <w:szCs w:val="24"/>
        </w:rPr>
        <w:t xml:space="preserve"> Este Decreto entra em vigor na data de sua publicação.</w:t>
      </w:r>
    </w:p>
    <w:p w:rsidR="006C1571" w:rsidRDefault="0043795A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  <w:r w:rsidRPr="00A007F8">
        <w:rPr>
          <w:rFonts w:ascii="Palatino Linotype" w:hAnsi="Palatino Linotype"/>
          <w:sz w:val="24"/>
          <w:szCs w:val="24"/>
        </w:rPr>
        <w:tab/>
      </w:r>
    </w:p>
    <w:p w:rsidR="00A0096F" w:rsidRPr="00DD421D" w:rsidRDefault="00A0096F" w:rsidP="00194ACD">
      <w:pPr>
        <w:ind w:firstLine="709"/>
        <w:rPr>
          <w:rFonts w:ascii="Palatino Linotype" w:hAnsi="Palatino Linotype"/>
          <w:b/>
        </w:rPr>
      </w:pPr>
      <w:r w:rsidRPr="00DD421D">
        <w:rPr>
          <w:rFonts w:ascii="Palatino Linotype" w:hAnsi="Palatino Linotype"/>
          <w:b/>
        </w:rPr>
        <w:t>GABINETE DO PREFEITO M</w:t>
      </w:r>
      <w:r w:rsidR="007F4771">
        <w:rPr>
          <w:rFonts w:ascii="Palatino Linotype" w:hAnsi="Palatino Linotype"/>
          <w:b/>
        </w:rPr>
        <w:t>UNICIPAL DE SÃO MARTINHO, AOS 02</w:t>
      </w:r>
      <w:r w:rsidRPr="00DD421D">
        <w:rPr>
          <w:rFonts w:ascii="Palatino Linotype" w:hAnsi="Palatino Linotype"/>
          <w:b/>
        </w:rPr>
        <w:t xml:space="preserve"> DIAS DO MÊS DE </w:t>
      </w:r>
      <w:r w:rsidR="007F4771">
        <w:rPr>
          <w:rFonts w:ascii="Palatino Linotype" w:hAnsi="Palatino Linotype"/>
          <w:b/>
        </w:rPr>
        <w:t>OUTU</w:t>
      </w:r>
      <w:r w:rsidR="007F4771" w:rsidRPr="00DD421D">
        <w:rPr>
          <w:rFonts w:ascii="Palatino Linotype" w:hAnsi="Palatino Linotype"/>
          <w:b/>
        </w:rPr>
        <w:t xml:space="preserve">BRO </w:t>
      </w:r>
      <w:r w:rsidRPr="00DD421D">
        <w:rPr>
          <w:rFonts w:ascii="Palatino Linotype" w:hAnsi="Palatino Linotype"/>
          <w:b/>
        </w:rPr>
        <w:t>DE 2017.</w:t>
      </w:r>
    </w:p>
    <w:p w:rsidR="00A0096F" w:rsidRPr="00DD421D" w:rsidRDefault="00A0096F" w:rsidP="00194ACD">
      <w:pPr>
        <w:rPr>
          <w:rFonts w:ascii="Palatino Linotype" w:hAnsi="Palatino Linotype" w:cs="Calibri"/>
        </w:rPr>
      </w:pPr>
      <w:r w:rsidRPr="00DD421D">
        <w:rPr>
          <w:rFonts w:ascii="Palatino Linotype" w:hAnsi="Palatino Linotype" w:cs="Calibri"/>
        </w:rPr>
        <w:t>Registre-se e Publique-se</w:t>
      </w:r>
      <w:r>
        <w:rPr>
          <w:rFonts w:ascii="Palatino Linotype" w:hAnsi="Palatino Linotype" w:cs="Calibri"/>
        </w:rPr>
        <w:t>:</w:t>
      </w:r>
    </w:p>
    <w:p w:rsidR="00A0096F" w:rsidRPr="00DD421D" w:rsidRDefault="00A0096F" w:rsidP="00194ACD">
      <w:pPr>
        <w:pStyle w:val="Corpodetexto"/>
        <w:spacing w:line="240" w:lineRule="auto"/>
        <w:rPr>
          <w:rFonts w:ascii="Palatino Linotype" w:hAnsi="Palatino Linotype"/>
        </w:rPr>
      </w:pPr>
    </w:p>
    <w:p w:rsidR="00A0096F" w:rsidRPr="00DD421D" w:rsidRDefault="00A0096F" w:rsidP="00194ACD">
      <w:pPr>
        <w:pStyle w:val="Corpodetexto"/>
        <w:spacing w:line="240" w:lineRule="auto"/>
        <w:rPr>
          <w:rFonts w:ascii="Palatino Linotype" w:hAnsi="Palatino Linotype"/>
        </w:rPr>
      </w:pPr>
    </w:p>
    <w:p w:rsidR="00A0096F" w:rsidRPr="00DD421D" w:rsidRDefault="00A0096F" w:rsidP="00194ACD">
      <w:pPr>
        <w:ind w:left="5387"/>
        <w:jc w:val="both"/>
        <w:rPr>
          <w:rFonts w:ascii="Palatino Linotype" w:hAnsi="Palatino Linotype" w:cs="Calibri"/>
        </w:rPr>
      </w:pPr>
      <w:r w:rsidRPr="00DD421D">
        <w:rPr>
          <w:rFonts w:ascii="Palatino Linotype" w:hAnsi="Palatino Linotype" w:cs="Calibri"/>
          <w:b/>
          <w:bCs/>
        </w:rPr>
        <w:tab/>
        <w:t>MARINO KREWER</w:t>
      </w:r>
    </w:p>
    <w:p w:rsidR="00A0096F" w:rsidRPr="00DD421D" w:rsidRDefault="00A0096F" w:rsidP="00194ACD">
      <w:pPr>
        <w:ind w:left="5387"/>
        <w:jc w:val="both"/>
        <w:rPr>
          <w:rFonts w:ascii="Palatino Linotype" w:hAnsi="Palatino Linotype" w:cs="Calibri"/>
        </w:rPr>
      </w:pPr>
      <w:r w:rsidRPr="00DD421D">
        <w:rPr>
          <w:rFonts w:ascii="Palatino Linotype" w:hAnsi="Palatino Linotype" w:cs="Calibri"/>
        </w:rPr>
        <w:tab/>
        <w:t>Prefeito Municipal</w:t>
      </w:r>
    </w:p>
    <w:p w:rsidR="00A0096F" w:rsidRPr="00DD421D" w:rsidRDefault="00A0096F" w:rsidP="00194ACD">
      <w:pPr>
        <w:rPr>
          <w:rFonts w:ascii="Palatino Linotype" w:hAnsi="Palatino Linotype" w:cs="Calibri"/>
        </w:rPr>
      </w:pPr>
    </w:p>
    <w:p w:rsidR="00A0096F" w:rsidRPr="00DD421D" w:rsidRDefault="00A0096F" w:rsidP="00194ACD">
      <w:pPr>
        <w:rPr>
          <w:rFonts w:ascii="Palatino Linotype" w:hAnsi="Palatino Linotype" w:cs="Calibri"/>
          <w:b/>
        </w:rPr>
      </w:pPr>
      <w:r w:rsidRPr="00DD421D">
        <w:rPr>
          <w:rFonts w:ascii="Palatino Linotype" w:hAnsi="Palatino Linotype" w:cs="Calibri"/>
          <w:b/>
        </w:rPr>
        <w:t xml:space="preserve">DIOGO SAMUEL RITTER </w:t>
      </w:r>
    </w:p>
    <w:p w:rsidR="00A0096F" w:rsidRPr="000D1A65" w:rsidRDefault="00A0096F" w:rsidP="00194ACD">
      <w:r w:rsidRPr="00DD421D">
        <w:rPr>
          <w:rFonts w:ascii="Palatino Linotype" w:hAnsi="Palatino Linotype" w:cs="Calibri"/>
        </w:rPr>
        <w:t>Secretário Municipal de Administração</w:t>
      </w:r>
    </w:p>
    <w:p w:rsidR="00A0096F" w:rsidRPr="00A007F8" w:rsidRDefault="00A0096F" w:rsidP="00194ACD">
      <w:pPr>
        <w:tabs>
          <w:tab w:val="left" w:pos="1701"/>
          <w:tab w:val="left" w:pos="4218"/>
        </w:tabs>
        <w:jc w:val="both"/>
        <w:rPr>
          <w:rFonts w:ascii="Palatino Linotype" w:hAnsi="Palatino Linotype"/>
          <w:sz w:val="24"/>
          <w:szCs w:val="24"/>
        </w:rPr>
      </w:pPr>
    </w:p>
    <w:sectPr w:rsidR="00A0096F" w:rsidRPr="00A007F8" w:rsidSect="00194ACD">
      <w:footerReference w:type="even" r:id="rId8"/>
      <w:footerReference w:type="default" r:id="rId9"/>
      <w:pgSz w:w="11906" w:h="16838" w:code="9"/>
      <w:pgMar w:top="2268" w:right="1134" w:bottom="1134" w:left="1701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2C" w:rsidRDefault="00111D2C">
      <w:r>
        <w:separator/>
      </w:r>
    </w:p>
  </w:endnote>
  <w:endnote w:type="continuationSeparator" w:id="0">
    <w:p w:rsidR="00111D2C" w:rsidRDefault="0011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5A" w:rsidRDefault="0043795A" w:rsidP="00111D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795A" w:rsidRDefault="0043795A" w:rsidP="004379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5A" w:rsidRPr="0043795A" w:rsidRDefault="0043795A" w:rsidP="00111D2C">
    <w:pPr>
      <w:pStyle w:val="Rodap"/>
      <w:framePr w:wrap="around" w:vAnchor="text" w:hAnchor="margin" w:xAlign="right" w:y="1"/>
      <w:rPr>
        <w:rStyle w:val="Nmerodepgina"/>
        <w:sz w:val="20"/>
        <w:szCs w:val="20"/>
      </w:rPr>
    </w:pPr>
    <w:r w:rsidRPr="0043795A">
      <w:rPr>
        <w:rStyle w:val="Nmerodepgina"/>
        <w:sz w:val="20"/>
        <w:szCs w:val="20"/>
      </w:rPr>
      <w:fldChar w:fldCharType="begin"/>
    </w:r>
    <w:r w:rsidRPr="0043795A">
      <w:rPr>
        <w:rStyle w:val="Nmerodepgina"/>
        <w:sz w:val="20"/>
        <w:szCs w:val="20"/>
      </w:rPr>
      <w:instrText xml:space="preserve">PAGE  </w:instrText>
    </w:r>
    <w:r w:rsidRPr="0043795A">
      <w:rPr>
        <w:rStyle w:val="Nmerodepgina"/>
        <w:sz w:val="20"/>
        <w:szCs w:val="20"/>
      </w:rPr>
      <w:fldChar w:fldCharType="separate"/>
    </w:r>
    <w:r w:rsidR="00200AC1">
      <w:rPr>
        <w:rStyle w:val="Nmerodepgina"/>
        <w:noProof/>
        <w:sz w:val="20"/>
        <w:szCs w:val="20"/>
      </w:rPr>
      <w:t>2</w:t>
    </w:r>
    <w:r w:rsidRPr="0043795A">
      <w:rPr>
        <w:rStyle w:val="Nmerodepgina"/>
        <w:sz w:val="20"/>
        <w:szCs w:val="20"/>
      </w:rPr>
      <w:fldChar w:fldCharType="end"/>
    </w:r>
  </w:p>
  <w:p w:rsidR="0043795A" w:rsidRDefault="0043795A" w:rsidP="0043795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2C" w:rsidRDefault="00111D2C">
      <w:r>
        <w:separator/>
      </w:r>
    </w:p>
  </w:footnote>
  <w:footnote w:type="continuationSeparator" w:id="0">
    <w:p w:rsidR="00111D2C" w:rsidRDefault="0011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D4618"/>
    <w:rsid w:val="00033875"/>
    <w:rsid w:val="00111D2C"/>
    <w:rsid w:val="00194ACD"/>
    <w:rsid w:val="00200AC1"/>
    <w:rsid w:val="0043795A"/>
    <w:rsid w:val="006C1571"/>
    <w:rsid w:val="007F4771"/>
    <w:rsid w:val="009B55B1"/>
    <w:rsid w:val="009D4618"/>
    <w:rsid w:val="00A007F8"/>
    <w:rsid w:val="00A0096F"/>
    <w:rsid w:val="00B228C4"/>
    <w:rsid w:val="00B87F62"/>
    <w:rsid w:val="00C86862"/>
    <w:rsid w:val="00D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oNotEmbedSmartTags/>
  <w:decimalSymbol w:val=","/>
  <w:listSeparator w:val=";"/>
  <w14:docId w14:val="1CC9E479"/>
  <w15:docId w15:val="{FBA87B70-BD64-4377-AB22-ED50A29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218"/>
      </w:tabs>
      <w:spacing w:before="120" w:line="36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tabs>
        <w:tab w:val="left" w:pos="1378"/>
        <w:tab w:val="left" w:pos="4218"/>
        <w:tab w:val="left" w:pos="5382"/>
      </w:tabs>
      <w:spacing w:before="120" w:line="360" w:lineRule="auto"/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18"/>
        <w:tab w:val="left" w:pos="5382"/>
      </w:tabs>
      <w:ind w:left="4248"/>
      <w:jc w:val="both"/>
    </w:pPr>
    <w:rPr>
      <w:i/>
    </w:rPr>
  </w:style>
  <w:style w:type="character" w:styleId="Nmerodepgina">
    <w:name w:val="page number"/>
    <w:basedOn w:val="Fontepargpadro"/>
    <w:rsid w:val="0043795A"/>
  </w:style>
  <w:style w:type="paragraph" w:styleId="Textodenotaderodap">
    <w:name w:val="footnote text"/>
    <w:basedOn w:val="Normal"/>
    <w:semiHidden/>
    <w:rsid w:val="0043795A"/>
    <w:rPr>
      <w:sz w:val="20"/>
      <w:szCs w:val="20"/>
    </w:rPr>
  </w:style>
  <w:style w:type="character" w:styleId="Refdenotaderodap">
    <w:name w:val="footnote reference"/>
    <w:basedOn w:val="Fontepargpadro"/>
    <w:semiHidden/>
    <w:rsid w:val="0043795A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194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94AC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oV\Dados%20de%20aplicativos\Microsoft\Modelos\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7113-63B0-44AA-9D60-1FCDEE14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46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Marlon Loch</dc:creator>
  <cp:lastModifiedBy>User</cp:lastModifiedBy>
  <cp:revision>12</cp:revision>
  <cp:lastPrinted>2017-10-02T19:35:00Z</cp:lastPrinted>
  <dcterms:created xsi:type="dcterms:W3CDTF">2017-10-02T17:29:00Z</dcterms:created>
  <dcterms:modified xsi:type="dcterms:W3CDTF">2017-10-09T14:09:00Z</dcterms:modified>
</cp:coreProperties>
</file>